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C1419" w:rsidRPr="008C1419" w:rsidRDefault="008C1419" w:rsidP="008C1419">
      <w:pPr>
        <w:pStyle w:val="a3"/>
        <w:jc w:val="center"/>
        <w:rPr>
          <w:sz w:val="24"/>
          <w:szCs w:val="24"/>
          <w:lang w:val="en-US"/>
        </w:rPr>
      </w:pPr>
      <w:r w:rsidRPr="008C1419">
        <w:rPr>
          <w:sz w:val="24"/>
          <w:szCs w:val="24"/>
          <w:lang w:val="en-US"/>
        </w:rPr>
        <w:t>The technology of obtaining electrical energy</w:t>
      </w:r>
    </w:p>
    <w:p w:rsidR="008C1419" w:rsidRPr="008C1419" w:rsidRDefault="008C1419" w:rsidP="008C1419">
      <w:pPr>
        <w:pStyle w:val="a3"/>
        <w:jc w:val="center"/>
        <w:rPr>
          <w:sz w:val="24"/>
          <w:szCs w:val="24"/>
          <w:lang w:val="en-US"/>
        </w:rPr>
      </w:pPr>
      <w:proofErr w:type="gramStart"/>
      <w:r w:rsidRPr="008C1419">
        <w:rPr>
          <w:sz w:val="24"/>
          <w:szCs w:val="24"/>
          <w:lang w:val="en-US"/>
        </w:rPr>
        <w:t>using</w:t>
      </w:r>
      <w:proofErr w:type="gramEnd"/>
      <w:r w:rsidRPr="008C1419">
        <w:rPr>
          <w:sz w:val="24"/>
          <w:szCs w:val="24"/>
          <w:lang w:val="en-US"/>
        </w:rPr>
        <w:t xml:space="preserve"> an intermediate frame of reference.</w:t>
      </w:r>
    </w:p>
    <w:p w:rsidR="008C1419" w:rsidRPr="008C1419" w:rsidRDefault="008C1419" w:rsidP="008C1419">
      <w:pPr>
        <w:pStyle w:val="a3"/>
        <w:jc w:val="center"/>
        <w:rPr>
          <w:sz w:val="24"/>
          <w:szCs w:val="24"/>
          <w:lang w:val="en-US"/>
        </w:rPr>
      </w:pPr>
      <w:r w:rsidRPr="008C1419">
        <w:rPr>
          <w:sz w:val="24"/>
          <w:szCs w:val="24"/>
          <w:lang w:val="en-US"/>
        </w:rPr>
        <w:t>Annotation.</w:t>
      </w:r>
    </w:p>
    <w:p w:rsidR="008C1419" w:rsidRPr="008C1419" w:rsidRDefault="008C1419" w:rsidP="008C1419">
      <w:pPr>
        <w:pStyle w:val="a3"/>
        <w:jc w:val="both"/>
        <w:rPr>
          <w:sz w:val="24"/>
          <w:szCs w:val="24"/>
          <w:lang w:val="en-US"/>
        </w:rPr>
      </w:pPr>
      <w:r w:rsidRPr="008C1419">
        <w:rPr>
          <w:sz w:val="24"/>
          <w:szCs w:val="24"/>
          <w:lang w:val="en-US"/>
        </w:rPr>
        <w:t>The article presents the theoretical and experimental results of a study aimed at creating a technology for generating electrical energy using an intermediate reference frame.</w:t>
      </w:r>
    </w:p>
    <w:p w:rsidR="008C1419" w:rsidRPr="008C1419" w:rsidRDefault="008C1419" w:rsidP="008C1419">
      <w:pPr>
        <w:pStyle w:val="a3"/>
        <w:jc w:val="both"/>
        <w:rPr>
          <w:sz w:val="24"/>
          <w:szCs w:val="24"/>
          <w:lang w:val="en-US"/>
        </w:rPr>
      </w:pPr>
      <w:r w:rsidRPr="008C1419">
        <w:rPr>
          <w:sz w:val="24"/>
          <w:szCs w:val="24"/>
          <w:lang w:val="en-US"/>
        </w:rPr>
        <w:t>The object of research is the physical phenomenon of induction (in German terminology "Influenz" [1], p. 48), which occurs during the relative motion of reference frames, as a consequence of the relativistic effect of relativity of simultaneity [2], p.374.</w:t>
      </w:r>
    </w:p>
    <w:p w:rsidR="008C1419" w:rsidRPr="008C1419" w:rsidRDefault="008C1419" w:rsidP="008C1419">
      <w:pPr>
        <w:pStyle w:val="a3"/>
        <w:jc w:val="both"/>
        <w:rPr>
          <w:sz w:val="24"/>
          <w:szCs w:val="24"/>
        </w:rPr>
      </w:pPr>
      <w:r w:rsidRPr="008C1419">
        <w:rPr>
          <w:sz w:val="24"/>
          <w:szCs w:val="24"/>
          <w:lang w:val="en-US"/>
        </w:rPr>
        <w:t xml:space="preserve">According to [2], pp. 166-168, an observer moving at a speed u relative to a medium with a magnetization of M, detects an electric field (Fig. 1). This physical phenomenon, known in engineering as induction in moving conductors [1], pp. 113-114, </w:t>
      </w:r>
      <w:proofErr w:type="gramStart"/>
      <w:r w:rsidRPr="008C1419">
        <w:rPr>
          <w:sz w:val="24"/>
          <w:szCs w:val="24"/>
          <w:lang w:val="en-US"/>
        </w:rPr>
        <w:t>is practically implemented</w:t>
      </w:r>
      <w:proofErr w:type="gramEnd"/>
      <w:r w:rsidRPr="008C1419">
        <w:rPr>
          <w:sz w:val="24"/>
          <w:szCs w:val="24"/>
          <w:lang w:val="en-US"/>
        </w:rPr>
        <w:t xml:space="preserve"> in a Faraday disk and is used in so-called unipolar generators. In these installations, the conductor, with the help of the primary motor, moves in a magnetic field relative to the external circuit.</w:t>
      </w:r>
      <w:r w:rsidRPr="008C1419">
        <w:rPr>
          <w:sz w:val="24"/>
          <w:szCs w:val="24"/>
          <w:lang w:val="en-US"/>
        </w:rPr>
        <w:t xml:space="preserve"> </w:t>
      </w:r>
      <w:r w:rsidRPr="008C1419">
        <w:rPr>
          <w:sz w:val="24"/>
          <w:szCs w:val="24"/>
        </w:rPr>
        <w:t>(</w:t>
      </w:r>
      <w:proofErr w:type="spellStart"/>
      <w:r w:rsidRPr="008C1419">
        <w:rPr>
          <w:sz w:val="24"/>
          <w:szCs w:val="24"/>
        </w:rPr>
        <w:t>galvanometer</w:t>
      </w:r>
      <w:proofErr w:type="spellEnd"/>
      <w:r w:rsidRPr="008C1419">
        <w:rPr>
          <w:sz w:val="24"/>
          <w:szCs w:val="24"/>
        </w:rPr>
        <w:t xml:space="preserve">, </w:t>
      </w:r>
      <w:proofErr w:type="spellStart"/>
      <w:r w:rsidRPr="008C1419">
        <w:rPr>
          <w:sz w:val="24"/>
          <w:szCs w:val="24"/>
        </w:rPr>
        <w:t>electrical</w:t>
      </w:r>
      <w:proofErr w:type="spellEnd"/>
      <w:r w:rsidRPr="008C1419">
        <w:rPr>
          <w:sz w:val="24"/>
          <w:szCs w:val="24"/>
        </w:rPr>
        <w:t xml:space="preserve"> </w:t>
      </w:r>
      <w:proofErr w:type="spellStart"/>
      <w:r w:rsidRPr="008C1419">
        <w:rPr>
          <w:sz w:val="24"/>
          <w:szCs w:val="24"/>
        </w:rPr>
        <w:t>load</w:t>
      </w:r>
      <w:proofErr w:type="spellEnd"/>
      <w:r w:rsidRPr="008C1419">
        <w:rPr>
          <w:sz w:val="24"/>
          <w:szCs w:val="24"/>
        </w:rPr>
        <w:t>).</w:t>
      </w:r>
    </w:p>
    <w:p w:rsidR="0065395B" w:rsidRDefault="008C1419" w:rsidP="008C1419">
      <w:pPr>
        <w:pStyle w:val="a3"/>
        <w:jc w:val="both"/>
        <w:rPr>
          <w:sz w:val="24"/>
          <w:szCs w:val="24"/>
          <w:lang w:val="en-US"/>
        </w:rPr>
      </w:pPr>
      <w:r w:rsidRPr="008C1419">
        <w:rPr>
          <w:sz w:val="24"/>
          <w:szCs w:val="24"/>
          <w:lang w:val="en-US"/>
        </w:rPr>
        <w:t xml:space="preserve">In this case, the electric load current flowing through the moving conductor and the external circuit interacts with the magnetic field, resulting in an Ampere force that acts on the moving conductor, and as a result, resists the primary motor. In [2], p. 167, Table 9.1, possible combinations of the relative motion of the conductor, the magnetic field source and the external circuit with a galvanometer </w:t>
      </w:r>
      <w:proofErr w:type="gramStart"/>
      <w:r w:rsidRPr="008C1419">
        <w:rPr>
          <w:sz w:val="24"/>
          <w:szCs w:val="24"/>
          <w:lang w:val="en-US"/>
        </w:rPr>
        <w:t>are indicated</w:t>
      </w:r>
      <w:proofErr w:type="gramEnd"/>
      <w:r w:rsidR="002937EC" w:rsidRPr="00881EE5">
        <w:rPr>
          <w:noProof/>
          <w:sz w:val="24"/>
          <w:szCs w:val="24"/>
          <w:lang w:eastAsia="ru-RU"/>
        </w:rPr>
        <w:drawing>
          <wp:anchor distT="0" distB="0" distL="114300" distR="114300" simplePos="0" relativeHeight="251658240" behindDoc="0" locked="0" layoutInCell="1" allowOverlap="1">
            <wp:simplePos x="0" y="0"/>
            <wp:positionH relativeFrom="column">
              <wp:posOffset>-3810</wp:posOffset>
            </wp:positionH>
            <wp:positionV relativeFrom="paragraph">
              <wp:posOffset>-635</wp:posOffset>
            </wp:positionV>
            <wp:extent cx="2818765" cy="2352040"/>
            <wp:effectExtent l="0" t="0" r="635" b="0"/>
            <wp:wrapThrough wrapText="bothSides">
              <wp:wrapPolygon edited="0">
                <wp:start x="0" y="0"/>
                <wp:lineTo x="0" y="21343"/>
                <wp:lineTo x="21459" y="21343"/>
                <wp:lineTo x="21459" y="0"/>
                <wp:lineTo x="0" y="0"/>
              </wp:wrapPolygon>
            </wp:wrapThrough>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
                      <a:extLst>
                        <a:ext uri="{28A0092B-C50C-407E-A947-70E740481C1C}">
                          <a14:useLocalDpi xmlns:a14="http://schemas.microsoft.com/office/drawing/2010/main" val="0"/>
                        </a:ext>
                      </a:extLst>
                    </a:blip>
                    <a:stretch>
                      <a:fillRect/>
                    </a:stretch>
                  </pic:blipFill>
                  <pic:spPr>
                    <a:xfrm>
                      <a:off x="0" y="0"/>
                      <a:ext cx="2818765" cy="2352040"/>
                    </a:xfrm>
                    <a:prstGeom prst="rect">
                      <a:avLst/>
                    </a:prstGeom>
                  </pic:spPr>
                </pic:pic>
              </a:graphicData>
            </a:graphic>
            <wp14:sizeRelH relativeFrom="page">
              <wp14:pctWidth>0</wp14:pctWidth>
            </wp14:sizeRelH>
            <wp14:sizeRelV relativeFrom="page">
              <wp14:pctHeight>0</wp14:pctHeight>
            </wp14:sizeRelV>
          </wp:anchor>
        </w:drawing>
      </w:r>
      <w:r w:rsidR="00527662" w:rsidRPr="008C1419">
        <w:rPr>
          <w:sz w:val="24"/>
          <w:szCs w:val="24"/>
          <w:lang w:val="en-US"/>
        </w:rPr>
        <w:t xml:space="preserve">. </w:t>
      </w:r>
    </w:p>
    <w:p w:rsidR="008C1419" w:rsidRDefault="008C1419" w:rsidP="008C1419">
      <w:pPr>
        <w:pStyle w:val="a3"/>
        <w:jc w:val="both"/>
        <w:rPr>
          <w:sz w:val="24"/>
          <w:szCs w:val="24"/>
          <w:lang w:val="en-US"/>
        </w:rPr>
      </w:pPr>
    </w:p>
    <w:p w:rsidR="008C1419" w:rsidRDefault="008C1419" w:rsidP="008C1419">
      <w:pPr>
        <w:pStyle w:val="a3"/>
        <w:jc w:val="both"/>
        <w:rPr>
          <w:sz w:val="24"/>
          <w:szCs w:val="24"/>
          <w:lang w:val="en-US"/>
        </w:rPr>
      </w:pPr>
    </w:p>
    <w:p w:rsidR="008C1419" w:rsidRDefault="008C1419" w:rsidP="008C1419">
      <w:pPr>
        <w:pStyle w:val="a3"/>
        <w:jc w:val="both"/>
        <w:rPr>
          <w:sz w:val="24"/>
          <w:szCs w:val="24"/>
        </w:rPr>
      </w:pPr>
    </w:p>
    <w:p w:rsidR="0010131C" w:rsidRDefault="0065395B" w:rsidP="0010131C">
      <w:pPr>
        <w:pStyle w:val="a3"/>
        <w:jc w:val="both"/>
        <w:rPr>
          <w:sz w:val="24"/>
          <w:szCs w:val="24"/>
        </w:rPr>
      </w:pPr>
      <w:r>
        <w:rPr>
          <w:sz w:val="24"/>
          <w:szCs w:val="24"/>
        </w:rPr>
        <w:t xml:space="preserve">                             </w:t>
      </w:r>
      <w:r w:rsidR="000C2D06" w:rsidRPr="000C2D06">
        <w:rPr>
          <w:sz w:val="24"/>
          <w:szCs w:val="24"/>
        </w:rPr>
        <w:t xml:space="preserve">Fig.1. [2], </w:t>
      </w:r>
      <w:proofErr w:type="spellStart"/>
      <w:r w:rsidR="000C2D06" w:rsidRPr="000C2D06">
        <w:rPr>
          <w:sz w:val="24"/>
          <w:szCs w:val="24"/>
        </w:rPr>
        <w:t>page</w:t>
      </w:r>
      <w:proofErr w:type="spellEnd"/>
      <w:r w:rsidR="000C2D06" w:rsidRPr="000C2D06">
        <w:rPr>
          <w:sz w:val="24"/>
          <w:szCs w:val="24"/>
        </w:rPr>
        <w:t xml:space="preserve"> 166</w:t>
      </w:r>
      <w:r w:rsidR="0010131C">
        <w:rPr>
          <w:sz w:val="24"/>
          <w:szCs w:val="24"/>
        </w:rPr>
        <w:t xml:space="preserve">        </w:t>
      </w:r>
      <w:r w:rsidR="00E3432E">
        <w:rPr>
          <w:sz w:val="24"/>
          <w:szCs w:val="24"/>
        </w:rPr>
        <w:t xml:space="preserve">                 </w:t>
      </w:r>
      <w:r w:rsidR="0010131C">
        <w:rPr>
          <w:sz w:val="24"/>
          <w:szCs w:val="24"/>
        </w:rPr>
        <w:t xml:space="preserve"> </w:t>
      </w:r>
    </w:p>
    <w:p w:rsidR="008C1419" w:rsidRPr="008C1419" w:rsidRDefault="008C1419" w:rsidP="008C1419">
      <w:pPr>
        <w:pStyle w:val="a3"/>
        <w:jc w:val="both"/>
        <w:rPr>
          <w:sz w:val="24"/>
          <w:szCs w:val="24"/>
          <w:lang w:val="en-US"/>
        </w:rPr>
      </w:pPr>
      <w:r w:rsidRPr="008C1419">
        <w:rPr>
          <w:sz w:val="24"/>
          <w:szCs w:val="24"/>
          <w:lang w:val="en-US"/>
        </w:rPr>
        <w:t>According to these data, a necessary and sufficient condition for induction to occur is the presence of relative motion between the reference frame of the conductor and the reference frame of the external circuit with a galvanometer.</w:t>
      </w:r>
    </w:p>
    <w:p w:rsidR="008C1419" w:rsidRPr="008C1419" w:rsidRDefault="008C1419" w:rsidP="008C1419">
      <w:pPr>
        <w:pStyle w:val="a3"/>
        <w:jc w:val="both"/>
        <w:rPr>
          <w:sz w:val="24"/>
          <w:szCs w:val="24"/>
          <w:lang w:val="en-US"/>
        </w:rPr>
      </w:pPr>
      <w:r w:rsidRPr="008C1419">
        <w:rPr>
          <w:sz w:val="24"/>
          <w:szCs w:val="24"/>
          <w:lang w:val="en-US"/>
        </w:rPr>
        <w:t xml:space="preserve">Based on the above data, a hypothesis </w:t>
      </w:r>
      <w:proofErr w:type="gramStart"/>
      <w:r w:rsidRPr="008C1419">
        <w:rPr>
          <w:sz w:val="24"/>
          <w:szCs w:val="24"/>
          <w:lang w:val="en-US"/>
        </w:rPr>
        <w:t>has been put</w:t>
      </w:r>
      <w:proofErr w:type="gramEnd"/>
      <w:r w:rsidRPr="008C1419">
        <w:rPr>
          <w:sz w:val="24"/>
          <w:szCs w:val="24"/>
          <w:lang w:val="en-US"/>
        </w:rPr>
        <w:t xml:space="preserve"> forward – to obtain induction, use the movement of an external circuit with a galvanometer relative to a stationary conductor in a magnetic field. Essential conditions of the hypothesis:</w:t>
      </w:r>
    </w:p>
    <w:p w:rsidR="008C1419" w:rsidRPr="008C1419" w:rsidRDefault="008C1419" w:rsidP="008C1419">
      <w:pPr>
        <w:pStyle w:val="a3"/>
        <w:numPr>
          <w:ilvl w:val="0"/>
          <w:numId w:val="6"/>
        </w:numPr>
        <w:jc w:val="both"/>
        <w:rPr>
          <w:sz w:val="24"/>
          <w:szCs w:val="24"/>
          <w:lang w:val="en-US"/>
        </w:rPr>
      </w:pPr>
      <w:r w:rsidRPr="008C1419">
        <w:rPr>
          <w:sz w:val="24"/>
          <w:szCs w:val="24"/>
          <w:lang w:val="en-US"/>
        </w:rPr>
        <w:t>An external circuit with a galvanometer, both at rest and in motion, is not in a magnetic field;</w:t>
      </w:r>
    </w:p>
    <w:p w:rsidR="008C1419" w:rsidRPr="008C1419" w:rsidRDefault="008C1419" w:rsidP="008C1419">
      <w:pPr>
        <w:pStyle w:val="a3"/>
        <w:numPr>
          <w:ilvl w:val="0"/>
          <w:numId w:val="6"/>
        </w:numPr>
        <w:jc w:val="both"/>
        <w:rPr>
          <w:sz w:val="24"/>
          <w:szCs w:val="24"/>
        </w:rPr>
      </w:pPr>
      <w:r w:rsidRPr="008C1419">
        <w:rPr>
          <w:sz w:val="24"/>
          <w:szCs w:val="24"/>
          <w:lang w:val="en-US"/>
        </w:rPr>
        <w:t xml:space="preserve">The induction that occurs in the frame of reference of a moving external circuit with a galvanometer, with or without conversion, returns to the frame of reference of a stationary conductor. Thus, the reference frame of the moving external circuit is an intermediate reference frame through which energy </w:t>
      </w:r>
      <w:proofErr w:type="gramStart"/>
      <w:r w:rsidRPr="008C1419">
        <w:rPr>
          <w:sz w:val="24"/>
          <w:szCs w:val="24"/>
          <w:lang w:val="en-US"/>
        </w:rPr>
        <w:t>is transited</w:t>
      </w:r>
      <w:proofErr w:type="gramEnd"/>
      <w:r w:rsidRPr="008C1419">
        <w:rPr>
          <w:sz w:val="24"/>
          <w:szCs w:val="24"/>
          <w:lang w:val="en-US"/>
        </w:rPr>
        <w:t>.</w:t>
      </w:r>
    </w:p>
    <w:p w:rsidR="008E4294" w:rsidRDefault="008E4294" w:rsidP="004771B8">
      <w:pPr>
        <w:pStyle w:val="a3"/>
        <w:jc w:val="both"/>
        <w:rPr>
          <w:sz w:val="24"/>
          <w:szCs w:val="24"/>
        </w:rPr>
      </w:pPr>
      <w:r w:rsidRPr="008E4294">
        <w:rPr>
          <w:sz w:val="24"/>
          <w:szCs w:val="24"/>
          <w:lang w:val="en-US"/>
        </w:rPr>
        <w:t xml:space="preserve">The meaning of the hypothesis is that the reference frame of a moving external circuit with a galvanometer is not in a magnetic field and, therefore, the electric current flowing in this circuit does not give rise to an Ampere force acting on a moving external circuit. For the reference frame of a moving external circuit, </w:t>
      </w:r>
      <w:proofErr w:type="gramStart"/>
      <w:r w:rsidRPr="008E4294">
        <w:rPr>
          <w:sz w:val="24"/>
          <w:szCs w:val="24"/>
          <w:lang w:val="en-US"/>
        </w:rPr>
        <w:t>the resistance to the primary motor is represented only by mechanical resistance (bearing friction, air resistance, etc.)</w:t>
      </w:r>
      <w:proofErr w:type="gramEnd"/>
      <w:r w:rsidRPr="008E4294">
        <w:rPr>
          <w:sz w:val="24"/>
          <w:szCs w:val="24"/>
          <w:lang w:val="en-US"/>
        </w:rPr>
        <w:t>.</w:t>
      </w:r>
      <w:r w:rsidR="00105366" w:rsidRPr="008E4294">
        <w:rPr>
          <w:sz w:val="24"/>
          <w:szCs w:val="24"/>
          <w:lang w:val="en-US"/>
        </w:rPr>
        <w:t xml:space="preserve"> </w:t>
      </w:r>
      <w:proofErr w:type="gramStart"/>
      <w:r w:rsidRPr="008E4294">
        <w:rPr>
          <w:sz w:val="24"/>
          <w:szCs w:val="24"/>
          <w:lang w:val="en-US"/>
        </w:rPr>
        <w:t>Obtaining induction in this way, all other things being equal, allows you to obtain the same amount of energy as in the case of moving the conductor relative to the external circuit, with the difference that in the case of moving the conductor, the Ampere force resists the primary motor, and in the case of moving the external circuit with a galvanometer, the Ampere force does not act on the external circuit.</w:t>
      </w:r>
      <w:proofErr w:type="gramEnd"/>
      <w:r w:rsidRPr="008E4294">
        <w:rPr>
          <w:sz w:val="24"/>
          <w:szCs w:val="24"/>
          <w:lang w:val="en-US"/>
        </w:rPr>
        <w:t xml:space="preserve"> </w:t>
      </w:r>
      <w:proofErr w:type="gramStart"/>
      <w:r w:rsidRPr="008E4294">
        <w:rPr>
          <w:sz w:val="24"/>
          <w:szCs w:val="24"/>
          <w:lang w:val="en-US"/>
        </w:rPr>
        <w:t>and</w:t>
      </w:r>
      <w:proofErr w:type="gramEnd"/>
      <w:r w:rsidRPr="008E4294">
        <w:rPr>
          <w:sz w:val="24"/>
          <w:szCs w:val="24"/>
          <w:lang w:val="en-US"/>
        </w:rPr>
        <w:t xml:space="preserve"> it does not resist the primary motor, but strives to move the stationary conductor in the </w:t>
      </w:r>
      <w:r w:rsidRPr="008E4294">
        <w:rPr>
          <w:sz w:val="24"/>
          <w:szCs w:val="24"/>
          <w:lang w:val="en-US"/>
        </w:rPr>
        <w:lastRenderedPageBreak/>
        <w:t>direction of movement of the external circuit.</w:t>
      </w:r>
      <w:r w:rsidR="000932E9" w:rsidRPr="008E4294">
        <w:rPr>
          <w:sz w:val="24"/>
          <w:szCs w:val="24"/>
          <w:lang w:val="en-US"/>
        </w:rPr>
        <w:t xml:space="preserve"> </w:t>
      </w:r>
      <w:r w:rsidRPr="008E4294">
        <w:rPr>
          <w:sz w:val="24"/>
          <w:szCs w:val="24"/>
          <w:lang w:val="en-US"/>
        </w:rPr>
        <w:t>This means that in absolute terms, the use of an intermediate frame of reference allows you to obtain an amount of energy greater than that consumed by the primary engine driving the intermediate frame of reference. The apparent perpetuum mobile effect is actually not such, since the amount of energy is not considered within one isolated frame of reference, but between independent open frames of reference, for which the relativistic effect of simultaneity relativity takes place, that is, time for the considered frame</w:t>
      </w:r>
      <w:r>
        <w:rPr>
          <w:sz w:val="24"/>
          <w:szCs w:val="24"/>
          <w:lang w:val="en-US"/>
        </w:rPr>
        <w:t>s of reference is heterogeneous</w:t>
      </w:r>
      <w:r w:rsidR="00BD333B" w:rsidRPr="008E4294">
        <w:rPr>
          <w:sz w:val="24"/>
          <w:szCs w:val="24"/>
          <w:lang w:val="en-US"/>
        </w:rPr>
        <w:t xml:space="preserve">. </w:t>
      </w:r>
      <w:r w:rsidRPr="008E4294">
        <w:rPr>
          <w:sz w:val="24"/>
          <w:szCs w:val="24"/>
          <w:lang w:val="en-US"/>
        </w:rPr>
        <w:t xml:space="preserve">According to </w:t>
      </w:r>
      <w:proofErr w:type="spellStart"/>
      <w:r w:rsidRPr="008E4294">
        <w:rPr>
          <w:sz w:val="24"/>
          <w:szCs w:val="24"/>
          <w:lang w:val="en-US"/>
        </w:rPr>
        <w:t>Noether's</w:t>
      </w:r>
      <w:proofErr w:type="spellEnd"/>
      <w:r w:rsidRPr="008E4294">
        <w:rPr>
          <w:sz w:val="24"/>
          <w:szCs w:val="24"/>
          <w:lang w:val="en-US"/>
        </w:rPr>
        <w:t xml:space="preserve"> theorem, the law of conservation of energy is a direct consequence of the uniformity of time. </w:t>
      </w:r>
      <w:proofErr w:type="spellStart"/>
      <w:r w:rsidRPr="008E4294">
        <w:rPr>
          <w:sz w:val="24"/>
          <w:szCs w:val="24"/>
        </w:rPr>
        <w:t>For</w:t>
      </w:r>
      <w:proofErr w:type="spellEnd"/>
      <w:r w:rsidRPr="008E4294">
        <w:rPr>
          <w:sz w:val="24"/>
          <w:szCs w:val="24"/>
        </w:rPr>
        <w:t xml:space="preserve"> </w:t>
      </w:r>
      <w:proofErr w:type="spellStart"/>
      <w:r w:rsidRPr="008E4294">
        <w:rPr>
          <w:sz w:val="24"/>
          <w:szCs w:val="24"/>
        </w:rPr>
        <w:t>systems</w:t>
      </w:r>
      <w:proofErr w:type="spellEnd"/>
      <w:r w:rsidRPr="008E4294">
        <w:rPr>
          <w:sz w:val="24"/>
          <w:szCs w:val="24"/>
        </w:rPr>
        <w:t xml:space="preserve"> </w:t>
      </w:r>
      <w:proofErr w:type="spellStart"/>
      <w:r w:rsidRPr="008E4294">
        <w:rPr>
          <w:sz w:val="24"/>
          <w:szCs w:val="24"/>
        </w:rPr>
        <w:t>in</w:t>
      </w:r>
      <w:proofErr w:type="spellEnd"/>
      <w:r w:rsidRPr="008E4294">
        <w:rPr>
          <w:sz w:val="24"/>
          <w:szCs w:val="24"/>
        </w:rPr>
        <w:t xml:space="preserve"> </w:t>
      </w:r>
      <w:proofErr w:type="spellStart"/>
      <w:r w:rsidRPr="008E4294">
        <w:rPr>
          <w:sz w:val="24"/>
          <w:szCs w:val="24"/>
        </w:rPr>
        <w:t>which</w:t>
      </w:r>
      <w:proofErr w:type="spellEnd"/>
      <w:r w:rsidRPr="008E4294">
        <w:rPr>
          <w:sz w:val="24"/>
          <w:szCs w:val="24"/>
        </w:rPr>
        <w:t xml:space="preserve"> </w:t>
      </w:r>
      <w:proofErr w:type="spellStart"/>
      <w:r w:rsidRPr="008E4294">
        <w:rPr>
          <w:sz w:val="24"/>
          <w:szCs w:val="24"/>
        </w:rPr>
        <w:t>time</w:t>
      </w:r>
      <w:proofErr w:type="spellEnd"/>
      <w:r w:rsidRPr="008E4294">
        <w:rPr>
          <w:sz w:val="24"/>
          <w:szCs w:val="24"/>
        </w:rPr>
        <w:t xml:space="preserve"> </w:t>
      </w:r>
      <w:proofErr w:type="spellStart"/>
      <w:r w:rsidRPr="008E4294">
        <w:rPr>
          <w:sz w:val="24"/>
          <w:szCs w:val="24"/>
        </w:rPr>
        <w:t>is</w:t>
      </w:r>
      <w:proofErr w:type="spellEnd"/>
      <w:r w:rsidRPr="008E4294">
        <w:rPr>
          <w:sz w:val="24"/>
          <w:szCs w:val="24"/>
        </w:rPr>
        <w:t xml:space="preserve"> </w:t>
      </w:r>
      <w:proofErr w:type="spellStart"/>
      <w:r w:rsidRPr="008E4294">
        <w:rPr>
          <w:sz w:val="24"/>
          <w:szCs w:val="24"/>
        </w:rPr>
        <w:t>not</w:t>
      </w:r>
      <w:proofErr w:type="spellEnd"/>
      <w:r w:rsidRPr="008E4294">
        <w:rPr>
          <w:sz w:val="24"/>
          <w:szCs w:val="24"/>
        </w:rPr>
        <w:t xml:space="preserve"> </w:t>
      </w:r>
      <w:proofErr w:type="spellStart"/>
      <w:r w:rsidRPr="008E4294">
        <w:rPr>
          <w:sz w:val="24"/>
          <w:szCs w:val="24"/>
        </w:rPr>
        <w:t>uniform</w:t>
      </w:r>
      <w:proofErr w:type="spellEnd"/>
      <w:r w:rsidRPr="008E4294">
        <w:rPr>
          <w:sz w:val="24"/>
          <w:szCs w:val="24"/>
        </w:rPr>
        <w:t xml:space="preserve">, </w:t>
      </w:r>
      <w:proofErr w:type="spellStart"/>
      <w:r w:rsidRPr="008E4294">
        <w:rPr>
          <w:sz w:val="24"/>
          <w:szCs w:val="24"/>
        </w:rPr>
        <w:t>the</w:t>
      </w:r>
      <w:proofErr w:type="spellEnd"/>
      <w:r w:rsidRPr="008E4294">
        <w:rPr>
          <w:sz w:val="24"/>
          <w:szCs w:val="24"/>
        </w:rPr>
        <w:t xml:space="preserve"> </w:t>
      </w:r>
      <w:proofErr w:type="spellStart"/>
      <w:r w:rsidRPr="008E4294">
        <w:rPr>
          <w:sz w:val="24"/>
          <w:szCs w:val="24"/>
        </w:rPr>
        <w:t>law</w:t>
      </w:r>
      <w:proofErr w:type="spellEnd"/>
      <w:r w:rsidRPr="008E4294">
        <w:rPr>
          <w:sz w:val="24"/>
          <w:szCs w:val="24"/>
        </w:rPr>
        <w:t xml:space="preserve"> </w:t>
      </w:r>
      <w:proofErr w:type="spellStart"/>
      <w:r w:rsidRPr="008E4294">
        <w:rPr>
          <w:sz w:val="24"/>
          <w:szCs w:val="24"/>
        </w:rPr>
        <w:t>of</w:t>
      </w:r>
      <w:proofErr w:type="spellEnd"/>
      <w:r w:rsidRPr="008E4294">
        <w:rPr>
          <w:sz w:val="24"/>
          <w:szCs w:val="24"/>
        </w:rPr>
        <w:t xml:space="preserve"> </w:t>
      </w:r>
      <w:proofErr w:type="spellStart"/>
      <w:r w:rsidRPr="008E4294">
        <w:rPr>
          <w:sz w:val="24"/>
          <w:szCs w:val="24"/>
        </w:rPr>
        <w:t>conservation</w:t>
      </w:r>
      <w:proofErr w:type="spellEnd"/>
      <w:r w:rsidRPr="008E4294">
        <w:rPr>
          <w:sz w:val="24"/>
          <w:szCs w:val="24"/>
        </w:rPr>
        <w:t xml:space="preserve"> </w:t>
      </w:r>
      <w:proofErr w:type="spellStart"/>
      <w:r w:rsidRPr="008E4294">
        <w:rPr>
          <w:sz w:val="24"/>
          <w:szCs w:val="24"/>
        </w:rPr>
        <w:t>of</w:t>
      </w:r>
      <w:proofErr w:type="spellEnd"/>
      <w:r w:rsidRPr="008E4294">
        <w:rPr>
          <w:sz w:val="24"/>
          <w:szCs w:val="24"/>
        </w:rPr>
        <w:t xml:space="preserve"> </w:t>
      </w:r>
      <w:proofErr w:type="spellStart"/>
      <w:r w:rsidRPr="008E4294">
        <w:rPr>
          <w:sz w:val="24"/>
          <w:szCs w:val="24"/>
        </w:rPr>
        <w:t>energy</w:t>
      </w:r>
      <w:proofErr w:type="spellEnd"/>
      <w:r w:rsidRPr="008E4294">
        <w:rPr>
          <w:sz w:val="24"/>
          <w:szCs w:val="24"/>
        </w:rPr>
        <w:t xml:space="preserve"> </w:t>
      </w:r>
      <w:proofErr w:type="spellStart"/>
      <w:r w:rsidRPr="008E4294">
        <w:rPr>
          <w:sz w:val="24"/>
          <w:szCs w:val="24"/>
        </w:rPr>
        <w:t>is</w:t>
      </w:r>
      <w:proofErr w:type="spellEnd"/>
      <w:r w:rsidRPr="008E4294">
        <w:rPr>
          <w:sz w:val="24"/>
          <w:szCs w:val="24"/>
        </w:rPr>
        <w:t xml:space="preserve"> </w:t>
      </w:r>
      <w:proofErr w:type="spellStart"/>
      <w:r w:rsidRPr="008E4294">
        <w:rPr>
          <w:sz w:val="24"/>
          <w:szCs w:val="24"/>
        </w:rPr>
        <w:t>inapplicable</w:t>
      </w:r>
      <w:proofErr w:type="spellEnd"/>
      <w:r w:rsidRPr="008E4294">
        <w:rPr>
          <w:sz w:val="24"/>
          <w:szCs w:val="24"/>
        </w:rPr>
        <w:t>.</w:t>
      </w:r>
    </w:p>
    <w:p w:rsidR="00C517B7" w:rsidRPr="008E4294" w:rsidRDefault="008E4294" w:rsidP="004771B8">
      <w:pPr>
        <w:pStyle w:val="a3"/>
        <w:jc w:val="both"/>
        <w:rPr>
          <w:sz w:val="24"/>
          <w:szCs w:val="24"/>
          <w:lang w:val="en-US"/>
        </w:rPr>
      </w:pPr>
      <w:r w:rsidRPr="008E4294">
        <w:rPr>
          <w:sz w:val="24"/>
          <w:szCs w:val="24"/>
          <w:lang w:val="en-US"/>
        </w:rPr>
        <w:t xml:space="preserve">The theoretical confirmation of the hypothesis is as follows. According to [2], pp.371-372, an electrically neutral conductor with a current in its own reference frame does not have to be neutral in another inertial reference frame, since according to the </w:t>
      </w:r>
      <w:proofErr w:type="spellStart"/>
      <w:r w:rsidRPr="008E4294">
        <w:rPr>
          <w:sz w:val="24"/>
          <w:szCs w:val="24"/>
          <w:lang w:val="en-US"/>
        </w:rPr>
        <w:t>Minkowski</w:t>
      </w:r>
      <w:proofErr w:type="spellEnd"/>
      <w:r w:rsidRPr="008E4294">
        <w:rPr>
          <w:sz w:val="24"/>
          <w:szCs w:val="24"/>
          <w:lang w:val="en-US"/>
        </w:rPr>
        <w:t xml:space="preserve"> diagram, charge densities are different in different reference frames. Physically, this means the following. An observer located in the reference frame of a stationary conductor identifies only the magnetic field in which the conductor is located. An observer located in the intermediate frame of reference of a moving external circuit, besides the magnetic field, also identifies the electric field.</w:t>
      </w:r>
      <w:r w:rsidR="002B29BF" w:rsidRPr="008E4294">
        <w:rPr>
          <w:sz w:val="24"/>
          <w:szCs w:val="24"/>
          <w:lang w:val="en-US"/>
        </w:rPr>
        <w:t xml:space="preserve"> </w:t>
      </w:r>
      <w:r w:rsidRPr="008E4294">
        <w:rPr>
          <w:sz w:val="24"/>
          <w:szCs w:val="24"/>
          <w:lang w:val="en-US"/>
        </w:rPr>
        <w:t>Since the electric field has energy, there is an immutable fact that for an observer in the frame of reference of a stationary conductor, the energy of the electric field is absent, while for an observer in the intermediate frame of reference of a moving external circuit, the energy of the electric field definitely exists. At the same time, to obtain this energy, it is sufficient to move the external circuit relative to a stationary conductor in a magnetic field, without spending energy to overcome the Ampere force. Transferring the energy of an electric field from an intermediate reference frame, with or without conversion into other types of energy, to the reference frame of a stationary conductor is a technically feasible task.</w:t>
      </w:r>
    </w:p>
    <w:p w:rsidR="00453525" w:rsidRPr="008E4294" w:rsidRDefault="008E4294" w:rsidP="004771B8">
      <w:pPr>
        <w:pStyle w:val="a3"/>
        <w:jc w:val="both"/>
        <w:rPr>
          <w:sz w:val="24"/>
          <w:szCs w:val="24"/>
          <w:lang w:val="en-US"/>
        </w:rPr>
      </w:pPr>
      <w:r w:rsidRPr="008E4294">
        <w:rPr>
          <w:sz w:val="24"/>
          <w:szCs w:val="24"/>
          <w:lang w:val="en-US"/>
        </w:rPr>
        <w:t>Experimental confirmation of the hypothesis was obtained during a laboratory experiment, the purpose of which was to obtain electrical energy (induction) using an intermediate frame of reference. For this purpose, an experimental setup was made (Fig. 2), based on the setup [1], p. 113, Fig. 155.</w:t>
      </w:r>
    </w:p>
    <w:p w:rsidR="003C48EF" w:rsidRDefault="003C48EF" w:rsidP="004771B8">
      <w:pPr>
        <w:pStyle w:val="a3"/>
        <w:jc w:val="both"/>
        <w:rPr>
          <w:sz w:val="24"/>
          <w:szCs w:val="24"/>
        </w:rPr>
      </w:pPr>
      <w:r>
        <w:rPr>
          <w:noProof/>
          <w:lang w:eastAsia="ru-RU"/>
        </w:rPr>
        <w:drawing>
          <wp:inline distT="0" distB="0" distL="0" distR="0" wp14:anchorId="427B6CCD" wp14:editId="52588CEA">
            <wp:extent cx="5940425" cy="2200275"/>
            <wp:effectExtent l="0" t="0" r="3175" b="9525"/>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940425" cy="2200275"/>
                    </a:xfrm>
                    <a:prstGeom prst="rect">
                      <a:avLst/>
                    </a:prstGeom>
                  </pic:spPr>
                </pic:pic>
              </a:graphicData>
            </a:graphic>
          </wp:inline>
        </w:drawing>
      </w:r>
    </w:p>
    <w:p w:rsidR="003C48EF" w:rsidRDefault="000C2D06" w:rsidP="003C48EF">
      <w:pPr>
        <w:pStyle w:val="a3"/>
        <w:jc w:val="center"/>
        <w:rPr>
          <w:sz w:val="24"/>
          <w:szCs w:val="24"/>
        </w:rPr>
      </w:pPr>
      <w:proofErr w:type="spellStart"/>
      <w:r w:rsidRPr="000C2D06">
        <w:rPr>
          <w:sz w:val="24"/>
          <w:szCs w:val="24"/>
        </w:rPr>
        <w:t>Fig</w:t>
      </w:r>
      <w:proofErr w:type="spellEnd"/>
      <w:r w:rsidRPr="000C2D06">
        <w:rPr>
          <w:sz w:val="24"/>
          <w:szCs w:val="24"/>
        </w:rPr>
        <w:t>. 2</w:t>
      </w:r>
      <w:bookmarkStart w:id="0" w:name="_GoBack"/>
      <w:bookmarkEnd w:id="0"/>
    </w:p>
    <w:p w:rsidR="008E4294" w:rsidRDefault="008E4294" w:rsidP="00957741">
      <w:pPr>
        <w:pStyle w:val="a3"/>
        <w:jc w:val="both"/>
        <w:rPr>
          <w:sz w:val="24"/>
          <w:szCs w:val="24"/>
          <w:lang w:val="en-US"/>
        </w:rPr>
      </w:pPr>
      <w:r w:rsidRPr="008E4294">
        <w:rPr>
          <w:sz w:val="24"/>
          <w:szCs w:val="24"/>
          <w:lang w:val="en-US"/>
        </w:rPr>
        <w:t xml:space="preserve">The external circuit 1, represented by a rigid copper wire, </w:t>
      </w:r>
      <w:proofErr w:type="gramStart"/>
      <w:r w:rsidRPr="008E4294">
        <w:rPr>
          <w:sz w:val="24"/>
          <w:szCs w:val="24"/>
          <w:lang w:val="en-US"/>
        </w:rPr>
        <w:t>is connected</w:t>
      </w:r>
      <w:proofErr w:type="gramEnd"/>
      <w:r w:rsidRPr="008E4294">
        <w:rPr>
          <w:sz w:val="24"/>
          <w:szCs w:val="24"/>
          <w:lang w:val="en-US"/>
        </w:rPr>
        <w:t xml:space="preserve"> by sliding contacts at points C and D to a fixed conductor 2, represented by a rigid copper wire. Conductor 2 is fixed through an insulating surface to a battery of 3 powerful neodymium magnets (5 </w:t>
      </w:r>
      <w:proofErr w:type="gramStart"/>
      <w:r w:rsidRPr="008E4294">
        <w:rPr>
          <w:sz w:val="24"/>
          <w:szCs w:val="24"/>
          <w:lang w:val="en-US"/>
        </w:rPr>
        <w:t>pcs.,</w:t>
      </w:r>
      <w:proofErr w:type="gramEnd"/>
      <w:r w:rsidRPr="008E4294">
        <w:rPr>
          <w:sz w:val="24"/>
          <w:szCs w:val="24"/>
          <w:lang w:val="en-US"/>
        </w:rPr>
        <w:t xml:space="preserve"> thickness 5 mm, diameter 20 mm). The lines of force of the magnetic field are conventionally perpendicular to the plane of the sheet. The installation implements energy transfer without conversion, for which the galvanometer 4 </w:t>
      </w:r>
      <w:proofErr w:type="gramStart"/>
      <w:r w:rsidRPr="008E4294">
        <w:rPr>
          <w:sz w:val="24"/>
          <w:szCs w:val="24"/>
          <w:lang w:val="en-US"/>
        </w:rPr>
        <w:t>is connected</w:t>
      </w:r>
      <w:proofErr w:type="gramEnd"/>
      <w:r w:rsidRPr="008E4294">
        <w:rPr>
          <w:sz w:val="24"/>
          <w:szCs w:val="24"/>
          <w:lang w:val="en-US"/>
        </w:rPr>
        <w:t xml:space="preserve"> in series to a fixed conductor circuit. The device used as a galvanometer is a galvanometer M136/1, the division price is 2.5x</w:t>
      </w:r>
      <w:r w:rsidRPr="008E4294">
        <w:rPr>
          <w:rFonts w:ascii="Cambria Math" w:hAnsi="Cambria Math" w:cs="Cambria Math"/>
          <w:sz w:val="24"/>
          <w:szCs w:val="24"/>
        </w:rPr>
        <w:t>〖</w:t>
      </w:r>
      <w:r w:rsidRPr="008E4294">
        <w:rPr>
          <w:sz w:val="24"/>
          <w:szCs w:val="24"/>
          <w:lang w:val="en-US"/>
        </w:rPr>
        <w:t>10</w:t>
      </w:r>
      <w:r w:rsidRPr="008E4294">
        <w:rPr>
          <w:rFonts w:ascii="Cambria Math" w:hAnsi="Cambria Math" w:cs="Cambria Math"/>
          <w:sz w:val="24"/>
          <w:szCs w:val="24"/>
        </w:rPr>
        <w:t>〗</w:t>
      </w:r>
      <w:proofErr w:type="gramStart"/>
      <w:r w:rsidRPr="008E4294">
        <w:rPr>
          <w:sz w:val="24"/>
          <w:szCs w:val="24"/>
          <w:lang w:val="en-US"/>
        </w:rPr>
        <w:t>^(</w:t>
      </w:r>
      <w:proofErr w:type="gramEnd"/>
      <w:r w:rsidRPr="008E4294">
        <w:rPr>
          <w:sz w:val="24"/>
          <w:szCs w:val="24"/>
          <w:lang w:val="en-US"/>
        </w:rPr>
        <w:t>-9) A/division. With a slight reciprocating movement of the external circuit 1, the galvanometer pointer 4 it will bow out in opposite directions by +/-</w:t>
      </w:r>
      <w:proofErr w:type="gramStart"/>
      <w:r w:rsidRPr="008E4294">
        <w:rPr>
          <w:sz w:val="24"/>
          <w:szCs w:val="24"/>
          <w:lang w:val="en-US"/>
        </w:rPr>
        <w:t>1</w:t>
      </w:r>
      <w:proofErr w:type="gramEnd"/>
      <w:r w:rsidRPr="008E4294">
        <w:rPr>
          <w:sz w:val="24"/>
          <w:szCs w:val="24"/>
          <w:lang w:val="en-US"/>
        </w:rPr>
        <w:t xml:space="preserve"> division. It reacts to a change in the polarity of the magnets by </w:t>
      </w:r>
      <w:r w:rsidRPr="008E4294">
        <w:rPr>
          <w:sz w:val="24"/>
          <w:szCs w:val="24"/>
          <w:lang w:val="en-US"/>
        </w:rPr>
        <w:lastRenderedPageBreak/>
        <w:t xml:space="preserve">changing the direction of the pointer deviation. With faster movement of the external circuit 1, at a speed v of about 1 m/s, the pointer of the galvanometer 4 deviates by </w:t>
      </w:r>
      <w:proofErr w:type="gramStart"/>
      <w:r w:rsidRPr="008E4294">
        <w:rPr>
          <w:sz w:val="24"/>
          <w:szCs w:val="24"/>
          <w:lang w:val="en-US"/>
        </w:rPr>
        <w:t>5</w:t>
      </w:r>
      <w:proofErr w:type="gramEnd"/>
      <w:r w:rsidRPr="008E4294">
        <w:rPr>
          <w:sz w:val="24"/>
          <w:szCs w:val="24"/>
          <w:lang w:val="en-US"/>
        </w:rPr>
        <w:t xml:space="preserve"> notches. It reacts to the change of polarity by changing the direction of the pointer deviation. During the experiment, the arms of the conductor increased by 2 times so that points C and D were outside the magnet, while the conductor intersected the field lines twice. There was a counter–intersection between the lines of force coming out of the magnet and the field lines going beyond the magnet.</w:t>
      </w:r>
      <w:r w:rsidR="004B3F1F" w:rsidRPr="008E4294">
        <w:rPr>
          <w:sz w:val="24"/>
          <w:szCs w:val="24"/>
          <w:lang w:val="en-US"/>
        </w:rPr>
        <w:t xml:space="preserve"> </w:t>
      </w:r>
      <w:r w:rsidRPr="008E4294">
        <w:rPr>
          <w:sz w:val="24"/>
          <w:szCs w:val="24"/>
          <w:lang w:val="en-US"/>
        </w:rPr>
        <w:t xml:space="preserve">In this case, with any movements of the external circuit 1, the pointer of the galvanometer 4 did not deviate. This confirms the fact that when a conductor intersects with a magnetic field, the electric fields observed by the external circuit </w:t>
      </w:r>
      <w:proofErr w:type="gramStart"/>
      <w:r w:rsidRPr="008E4294">
        <w:rPr>
          <w:sz w:val="24"/>
          <w:szCs w:val="24"/>
          <w:lang w:val="en-US"/>
        </w:rPr>
        <w:t>are also directed</w:t>
      </w:r>
      <w:proofErr w:type="gramEnd"/>
      <w:r w:rsidRPr="008E4294">
        <w:rPr>
          <w:sz w:val="24"/>
          <w:szCs w:val="24"/>
          <w:lang w:val="en-US"/>
        </w:rPr>
        <w:t xml:space="preserve"> in the opposite direction. In addition, this experimental fact confirms that induction </w:t>
      </w:r>
      <w:proofErr w:type="gramStart"/>
      <w:r w:rsidRPr="008E4294">
        <w:rPr>
          <w:sz w:val="24"/>
          <w:szCs w:val="24"/>
          <w:lang w:val="en-US"/>
        </w:rPr>
        <w:t>is observed</w:t>
      </w:r>
      <w:proofErr w:type="gramEnd"/>
      <w:r w:rsidRPr="008E4294">
        <w:rPr>
          <w:sz w:val="24"/>
          <w:szCs w:val="24"/>
          <w:lang w:val="en-US"/>
        </w:rPr>
        <w:t xml:space="preserve"> during the experiment, the appearance of which is associated precisely with the relative motion of the reference frames, and not with a change in the area of the contour or the magnetic flux covered by it.</w:t>
      </w:r>
    </w:p>
    <w:p w:rsidR="008E4294" w:rsidRPr="008E4294" w:rsidRDefault="008E4294" w:rsidP="008E4294">
      <w:pPr>
        <w:pStyle w:val="a3"/>
        <w:jc w:val="both"/>
        <w:rPr>
          <w:sz w:val="24"/>
          <w:szCs w:val="24"/>
          <w:lang w:val="en-US"/>
        </w:rPr>
      </w:pPr>
      <w:r w:rsidRPr="008E4294">
        <w:rPr>
          <w:sz w:val="24"/>
          <w:szCs w:val="24"/>
          <w:lang w:val="en-US"/>
        </w:rPr>
        <w:t>Conclusions:</w:t>
      </w:r>
    </w:p>
    <w:p w:rsidR="008E4294" w:rsidRPr="008E4294" w:rsidRDefault="008E4294" w:rsidP="008E4294">
      <w:pPr>
        <w:pStyle w:val="a3"/>
        <w:numPr>
          <w:ilvl w:val="0"/>
          <w:numId w:val="8"/>
        </w:numPr>
        <w:jc w:val="both"/>
        <w:rPr>
          <w:sz w:val="24"/>
          <w:szCs w:val="24"/>
          <w:lang w:val="en-US"/>
        </w:rPr>
      </w:pPr>
      <w:r w:rsidRPr="008E4294">
        <w:rPr>
          <w:sz w:val="24"/>
          <w:szCs w:val="24"/>
          <w:lang w:val="en-US"/>
        </w:rPr>
        <w:t>The hypothesis is based on scientifically proven facts</w:t>
      </w:r>
      <w:proofErr w:type="gramStart"/>
      <w:r w:rsidRPr="008E4294">
        <w:rPr>
          <w:sz w:val="24"/>
          <w:szCs w:val="24"/>
          <w:lang w:val="en-US"/>
        </w:rPr>
        <w:t>.;</w:t>
      </w:r>
      <w:proofErr w:type="gramEnd"/>
    </w:p>
    <w:p w:rsidR="008E4294" w:rsidRPr="008E4294" w:rsidRDefault="008E4294" w:rsidP="008E4294">
      <w:pPr>
        <w:pStyle w:val="a3"/>
        <w:numPr>
          <w:ilvl w:val="0"/>
          <w:numId w:val="8"/>
        </w:numPr>
        <w:jc w:val="both"/>
        <w:rPr>
          <w:sz w:val="24"/>
          <w:szCs w:val="24"/>
          <w:lang w:val="en-US"/>
        </w:rPr>
      </w:pPr>
      <w:r w:rsidRPr="008E4294">
        <w:rPr>
          <w:sz w:val="24"/>
          <w:szCs w:val="24"/>
          <w:lang w:val="en-US"/>
        </w:rPr>
        <w:t>The proposed hypothesis finds theoretical and, partially, experimental confirmation. During the experiment, it was possible to obtain high-quality induction using an intermediate frame of reference. At the same time, quantitative energy characteristics were not measured</w:t>
      </w:r>
      <w:proofErr w:type="gramStart"/>
      <w:r w:rsidRPr="008E4294">
        <w:rPr>
          <w:sz w:val="24"/>
          <w:szCs w:val="24"/>
          <w:lang w:val="en-US"/>
        </w:rPr>
        <w:t>.;</w:t>
      </w:r>
      <w:proofErr w:type="gramEnd"/>
    </w:p>
    <w:p w:rsidR="008E4294" w:rsidRPr="008E4294" w:rsidRDefault="008E4294" w:rsidP="008E4294">
      <w:pPr>
        <w:pStyle w:val="a3"/>
        <w:numPr>
          <w:ilvl w:val="0"/>
          <w:numId w:val="8"/>
        </w:numPr>
        <w:jc w:val="both"/>
        <w:rPr>
          <w:sz w:val="24"/>
          <w:szCs w:val="24"/>
          <w:lang w:val="en-US"/>
        </w:rPr>
      </w:pPr>
      <w:r w:rsidRPr="008E4294">
        <w:rPr>
          <w:sz w:val="24"/>
          <w:szCs w:val="24"/>
          <w:lang w:val="en-US"/>
        </w:rPr>
        <w:t>To assess the quantitative energy characteristics of the technology for generating electrical energy using an intermediate reference frame, it is advisable to create a full-size generator based on the principles considered.</w:t>
      </w:r>
    </w:p>
    <w:p w:rsidR="008E4294" w:rsidRPr="008E4294" w:rsidRDefault="008E4294" w:rsidP="008E4294">
      <w:pPr>
        <w:pStyle w:val="a3"/>
        <w:ind w:left="720"/>
        <w:jc w:val="both"/>
        <w:rPr>
          <w:sz w:val="24"/>
          <w:szCs w:val="24"/>
          <w:lang w:val="en-US"/>
        </w:rPr>
      </w:pPr>
    </w:p>
    <w:p w:rsidR="008E4294" w:rsidRPr="008E4294" w:rsidRDefault="008E4294" w:rsidP="008E4294">
      <w:pPr>
        <w:pStyle w:val="a3"/>
        <w:ind w:left="720"/>
        <w:jc w:val="both"/>
        <w:rPr>
          <w:sz w:val="24"/>
          <w:szCs w:val="24"/>
          <w:lang w:val="en-US"/>
        </w:rPr>
      </w:pPr>
    </w:p>
    <w:p w:rsidR="008E4294" w:rsidRPr="008E4294" w:rsidRDefault="008E4294" w:rsidP="008E4294">
      <w:pPr>
        <w:pStyle w:val="a3"/>
        <w:ind w:left="720"/>
        <w:jc w:val="both"/>
        <w:rPr>
          <w:sz w:val="24"/>
          <w:szCs w:val="24"/>
        </w:rPr>
      </w:pPr>
      <w:proofErr w:type="spellStart"/>
      <w:r w:rsidRPr="008E4294">
        <w:rPr>
          <w:sz w:val="24"/>
          <w:szCs w:val="24"/>
        </w:rPr>
        <w:t>List</w:t>
      </w:r>
      <w:proofErr w:type="spellEnd"/>
      <w:r w:rsidRPr="008E4294">
        <w:rPr>
          <w:sz w:val="24"/>
          <w:szCs w:val="24"/>
        </w:rPr>
        <w:t xml:space="preserve"> </w:t>
      </w:r>
      <w:proofErr w:type="spellStart"/>
      <w:r w:rsidRPr="008E4294">
        <w:rPr>
          <w:sz w:val="24"/>
          <w:szCs w:val="24"/>
        </w:rPr>
        <w:t>of</w:t>
      </w:r>
      <w:proofErr w:type="spellEnd"/>
      <w:r w:rsidRPr="008E4294">
        <w:rPr>
          <w:sz w:val="24"/>
          <w:szCs w:val="24"/>
        </w:rPr>
        <w:t xml:space="preserve"> </w:t>
      </w:r>
      <w:proofErr w:type="spellStart"/>
      <w:r w:rsidRPr="008E4294">
        <w:rPr>
          <w:sz w:val="24"/>
          <w:szCs w:val="24"/>
        </w:rPr>
        <w:t>literary</w:t>
      </w:r>
      <w:proofErr w:type="spellEnd"/>
      <w:r w:rsidRPr="008E4294">
        <w:rPr>
          <w:sz w:val="24"/>
          <w:szCs w:val="24"/>
        </w:rPr>
        <w:t xml:space="preserve"> </w:t>
      </w:r>
      <w:proofErr w:type="spellStart"/>
      <w:r w:rsidRPr="008E4294">
        <w:rPr>
          <w:sz w:val="24"/>
          <w:szCs w:val="24"/>
        </w:rPr>
        <w:t>sources</w:t>
      </w:r>
      <w:proofErr w:type="spellEnd"/>
    </w:p>
    <w:p w:rsidR="008E4294" w:rsidRPr="008E4294" w:rsidRDefault="008E4294" w:rsidP="008E4294">
      <w:pPr>
        <w:pStyle w:val="a3"/>
        <w:ind w:left="720"/>
        <w:jc w:val="both"/>
        <w:rPr>
          <w:sz w:val="24"/>
          <w:szCs w:val="24"/>
        </w:rPr>
      </w:pPr>
    </w:p>
    <w:p w:rsidR="008E4294" w:rsidRPr="008E4294" w:rsidRDefault="008E4294" w:rsidP="008E4294">
      <w:pPr>
        <w:pStyle w:val="a3"/>
        <w:numPr>
          <w:ilvl w:val="0"/>
          <w:numId w:val="10"/>
        </w:numPr>
        <w:jc w:val="both"/>
        <w:rPr>
          <w:sz w:val="24"/>
          <w:szCs w:val="24"/>
          <w:lang w:val="en-US"/>
        </w:rPr>
      </w:pPr>
      <w:r w:rsidRPr="008E4294">
        <w:rPr>
          <w:sz w:val="24"/>
          <w:szCs w:val="24"/>
          <w:lang w:val="en-US"/>
        </w:rPr>
        <w:t xml:space="preserve">"The Doctrine of Electricity", R. V. Pohl, translated from German by L. A. </w:t>
      </w:r>
      <w:proofErr w:type="spellStart"/>
      <w:r w:rsidRPr="008E4294">
        <w:rPr>
          <w:sz w:val="24"/>
          <w:szCs w:val="24"/>
          <w:lang w:val="en-US"/>
        </w:rPr>
        <w:t>Tumerman</w:t>
      </w:r>
      <w:proofErr w:type="spellEnd"/>
      <w:r w:rsidRPr="008E4294">
        <w:rPr>
          <w:sz w:val="24"/>
          <w:szCs w:val="24"/>
          <w:lang w:val="en-US"/>
        </w:rPr>
        <w:t xml:space="preserve">, State Publishing House of </w:t>
      </w:r>
      <w:proofErr w:type="spellStart"/>
      <w:r w:rsidRPr="008E4294">
        <w:rPr>
          <w:sz w:val="24"/>
          <w:szCs w:val="24"/>
          <w:lang w:val="en-US"/>
        </w:rPr>
        <w:t>Physico</w:t>
      </w:r>
      <w:proofErr w:type="spellEnd"/>
      <w:r w:rsidRPr="008E4294">
        <w:rPr>
          <w:sz w:val="24"/>
          <w:szCs w:val="24"/>
          <w:lang w:val="en-US"/>
        </w:rPr>
        <w:t>-Mathematical Literature, Moscow, 1962;</w:t>
      </w:r>
    </w:p>
    <w:p w:rsidR="00E52CC1" w:rsidRPr="008E4294" w:rsidRDefault="008E4294" w:rsidP="008E4294">
      <w:pPr>
        <w:pStyle w:val="a3"/>
        <w:numPr>
          <w:ilvl w:val="0"/>
          <w:numId w:val="10"/>
        </w:numPr>
        <w:jc w:val="both"/>
        <w:rPr>
          <w:sz w:val="24"/>
          <w:szCs w:val="24"/>
          <w:lang w:val="en-US"/>
        </w:rPr>
      </w:pPr>
      <w:r w:rsidRPr="008E4294">
        <w:rPr>
          <w:sz w:val="24"/>
          <w:szCs w:val="24"/>
          <w:lang w:val="en-US"/>
        </w:rPr>
        <w:t xml:space="preserve">"Classical Electrodynamics", V. </w:t>
      </w:r>
      <w:proofErr w:type="spellStart"/>
      <w:r w:rsidRPr="008E4294">
        <w:rPr>
          <w:sz w:val="24"/>
          <w:szCs w:val="24"/>
          <w:lang w:val="en-US"/>
        </w:rPr>
        <w:t>Panovsky</w:t>
      </w:r>
      <w:proofErr w:type="spellEnd"/>
      <w:r w:rsidRPr="008E4294">
        <w:rPr>
          <w:sz w:val="24"/>
          <w:szCs w:val="24"/>
          <w:lang w:val="en-US"/>
        </w:rPr>
        <w:t xml:space="preserve">, M. Philips, translated from English by V. P. </w:t>
      </w:r>
      <w:proofErr w:type="spellStart"/>
      <w:r w:rsidRPr="008E4294">
        <w:rPr>
          <w:sz w:val="24"/>
          <w:szCs w:val="24"/>
          <w:lang w:val="en-US"/>
        </w:rPr>
        <w:t>Bykov</w:t>
      </w:r>
      <w:proofErr w:type="spellEnd"/>
      <w:r w:rsidRPr="008E4294">
        <w:rPr>
          <w:sz w:val="24"/>
          <w:szCs w:val="24"/>
          <w:lang w:val="en-US"/>
        </w:rPr>
        <w:t>, edited by S. P. Kapitsa, State Publishing House of Physics and Mathematics-Mathematical Literature, Moscow, 1963.</w:t>
      </w:r>
    </w:p>
    <w:sectPr w:rsidR="00E52CC1" w:rsidRPr="008E4294" w:rsidSect="00A01158">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24657E"/>
    <w:multiLevelType w:val="hybridMultilevel"/>
    <w:tmpl w:val="37E014F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1202FDC"/>
    <w:multiLevelType w:val="hybridMultilevel"/>
    <w:tmpl w:val="7178755A"/>
    <w:lvl w:ilvl="0" w:tplc="0419000F">
      <w:start w:val="1"/>
      <w:numFmt w:val="decimal"/>
      <w:lvlText w:val="%1."/>
      <w:lvlJc w:val="left"/>
      <w:pPr>
        <w:ind w:left="780" w:hanging="360"/>
      </w:pPr>
    </w:lvl>
    <w:lvl w:ilvl="1" w:tplc="04190019" w:tentative="1">
      <w:start w:val="1"/>
      <w:numFmt w:val="lowerLetter"/>
      <w:lvlText w:val="%2."/>
      <w:lvlJc w:val="left"/>
      <w:pPr>
        <w:ind w:left="1500" w:hanging="360"/>
      </w:pPr>
    </w:lvl>
    <w:lvl w:ilvl="2" w:tplc="0419001B" w:tentative="1">
      <w:start w:val="1"/>
      <w:numFmt w:val="lowerRoman"/>
      <w:lvlText w:val="%3."/>
      <w:lvlJc w:val="right"/>
      <w:pPr>
        <w:ind w:left="2220" w:hanging="180"/>
      </w:pPr>
    </w:lvl>
    <w:lvl w:ilvl="3" w:tplc="0419000F" w:tentative="1">
      <w:start w:val="1"/>
      <w:numFmt w:val="decimal"/>
      <w:lvlText w:val="%4."/>
      <w:lvlJc w:val="left"/>
      <w:pPr>
        <w:ind w:left="2940" w:hanging="360"/>
      </w:pPr>
    </w:lvl>
    <w:lvl w:ilvl="4" w:tplc="04190019" w:tentative="1">
      <w:start w:val="1"/>
      <w:numFmt w:val="lowerLetter"/>
      <w:lvlText w:val="%5."/>
      <w:lvlJc w:val="left"/>
      <w:pPr>
        <w:ind w:left="3660" w:hanging="360"/>
      </w:pPr>
    </w:lvl>
    <w:lvl w:ilvl="5" w:tplc="0419001B" w:tentative="1">
      <w:start w:val="1"/>
      <w:numFmt w:val="lowerRoman"/>
      <w:lvlText w:val="%6."/>
      <w:lvlJc w:val="right"/>
      <w:pPr>
        <w:ind w:left="4380" w:hanging="180"/>
      </w:pPr>
    </w:lvl>
    <w:lvl w:ilvl="6" w:tplc="0419000F" w:tentative="1">
      <w:start w:val="1"/>
      <w:numFmt w:val="decimal"/>
      <w:lvlText w:val="%7."/>
      <w:lvlJc w:val="left"/>
      <w:pPr>
        <w:ind w:left="5100" w:hanging="360"/>
      </w:pPr>
    </w:lvl>
    <w:lvl w:ilvl="7" w:tplc="04190019" w:tentative="1">
      <w:start w:val="1"/>
      <w:numFmt w:val="lowerLetter"/>
      <w:lvlText w:val="%8."/>
      <w:lvlJc w:val="left"/>
      <w:pPr>
        <w:ind w:left="5820" w:hanging="360"/>
      </w:pPr>
    </w:lvl>
    <w:lvl w:ilvl="8" w:tplc="0419001B" w:tentative="1">
      <w:start w:val="1"/>
      <w:numFmt w:val="lowerRoman"/>
      <w:lvlText w:val="%9."/>
      <w:lvlJc w:val="right"/>
      <w:pPr>
        <w:ind w:left="6540" w:hanging="180"/>
      </w:pPr>
    </w:lvl>
  </w:abstractNum>
  <w:abstractNum w:abstractNumId="2" w15:restartNumberingAfterBreak="0">
    <w:nsid w:val="22F55115"/>
    <w:multiLevelType w:val="hybridMultilevel"/>
    <w:tmpl w:val="D35C02D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D763617"/>
    <w:multiLevelType w:val="hybridMultilevel"/>
    <w:tmpl w:val="982C734C"/>
    <w:lvl w:ilvl="0" w:tplc="573ACD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F505ABD"/>
    <w:multiLevelType w:val="hybridMultilevel"/>
    <w:tmpl w:val="0F069FAA"/>
    <w:lvl w:ilvl="0" w:tplc="573ACD24">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5" w15:restartNumberingAfterBreak="0">
    <w:nsid w:val="424F21BB"/>
    <w:multiLevelType w:val="hybridMultilevel"/>
    <w:tmpl w:val="50A2CF9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4D7303FB"/>
    <w:multiLevelType w:val="hybridMultilevel"/>
    <w:tmpl w:val="1D3AAF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1B965A8"/>
    <w:multiLevelType w:val="hybridMultilevel"/>
    <w:tmpl w:val="379010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63EB6A32"/>
    <w:multiLevelType w:val="hybridMultilevel"/>
    <w:tmpl w:val="79900C46"/>
    <w:lvl w:ilvl="0" w:tplc="573ACD24">
      <w:start w:val="1"/>
      <w:numFmt w:val="decimal"/>
      <w:lvlText w:val="%1."/>
      <w:lvlJc w:val="left"/>
      <w:pPr>
        <w:ind w:left="180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9" w15:restartNumberingAfterBreak="0">
    <w:nsid w:val="780A6C50"/>
    <w:multiLevelType w:val="hybridMultilevel"/>
    <w:tmpl w:val="0CBCE43C"/>
    <w:lvl w:ilvl="0" w:tplc="0419000F">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num w:numId="1">
    <w:abstractNumId w:val="1"/>
  </w:num>
  <w:num w:numId="2">
    <w:abstractNumId w:val="6"/>
  </w:num>
  <w:num w:numId="3">
    <w:abstractNumId w:val="2"/>
  </w:num>
  <w:num w:numId="4">
    <w:abstractNumId w:val="5"/>
  </w:num>
  <w:num w:numId="5">
    <w:abstractNumId w:val="7"/>
  </w:num>
  <w:num w:numId="6">
    <w:abstractNumId w:val="0"/>
  </w:num>
  <w:num w:numId="7">
    <w:abstractNumId w:val="9"/>
  </w:num>
  <w:num w:numId="8">
    <w:abstractNumId w:val="3"/>
  </w:num>
  <w:num w:numId="9">
    <w:abstractNumId w:val="8"/>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775A"/>
    <w:rsid w:val="000225FC"/>
    <w:rsid w:val="00022F8D"/>
    <w:rsid w:val="00026889"/>
    <w:rsid w:val="000611CD"/>
    <w:rsid w:val="000932E9"/>
    <w:rsid w:val="00095F8D"/>
    <w:rsid w:val="000C2D06"/>
    <w:rsid w:val="0010131C"/>
    <w:rsid w:val="00105366"/>
    <w:rsid w:val="00107368"/>
    <w:rsid w:val="00123324"/>
    <w:rsid w:val="00131A32"/>
    <w:rsid w:val="00144106"/>
    <w:rsid w:val="001A4D30"/>
    <w:rsid w:val="002029E1"/>
    <w:rsid w:val="0022130D"/>
    <w:rsid w:val="002252BA"/>
    <w:rsid w:val="00232ABE"/>
    <w:rsid w:val="00253481"/>
    <w:rsid w:val="00280D19"/>
    <w:rsid w:val="002937EC"/>
    <w:rsid w:val="002B29BF"/>
    <w:rsid w:val="002D226C"/>
    <w:rsid w:val="002E4FC3"/>
    <w:rsid w:val="003108CE"/>
    <w:rsid w:val="0032775A"/>
    <w:rsid w:val="00382647"/>
    <w:rsid w:val="003A2004"/>
    <w:rsid w:val="003B0944"/>
    <w:rsid w:val="003C48EF"/>
    <w:rsid w:val="003E27D6"/>
    <w:rsid w:val="003F306C"/>
    <w:rsid w:val="00416E45"/>
    <w:rsid w:val="00453525"/>
    <w:rsid w:val="00461608"/>
    <w:rsid w:val="0046672C"/>
    <w:rsid w:val="004771B8"/>
    <w:rsid w:val="00485578"/>
    <w:rsid w:val="00486689"/>
    <w:rsid w:val="004B3F1F"/>
    <w:rsid w:val="004B751D"/>
    <w:rsid w:val="004C6C57"/>
    <w:rsid w:val="004D3E47"/>
    <w:rsid w:val="00527662"/>
    <w:rsid w:val="00550E53"/>
    <w:rsid w:val="0056297F"/>
    <w:rsid w:val="00582CAD"/>
    <w:rsid w:val="005970D4"/>
    <w:rsid w:val="005B6AE5"/>
    <w:rsid w:val="005D3EFE"/>
    <w:rsid w:val="0065395B"/>
    <w:rsid w:val="00661A3F"/>
    <w:rsid w:val="00664B78"/>
    <w:rsid w:val="00684A1A"/>
    <w:rsid w:val="006B4AA8"/>
    <w:rsid w:val="0077220A"/>
    <w:rsid w:val="008539E5"/>
    <w:rsid w:val="008768D1"/>
    <w:rsid w:val="00880087"/>
    <w:rsid w:val="00881EE5"/>
    <w:rsid w:val="008B5863"/>
    <w:rsid w:val="008C1419"/>
    <w:rsid w:val="008E0579"/>
    <w:rsid w:val="008E4294"/>
    <w:rsid w:val="00921C4C"/>
    <w:rsid w:val="00931F0E"/>
    <w:rsid w:val="00957741"/>
    <w:rsid w:val="00966E85"/>
    <w:rsid w:val="00973599"/>
    <w:rsid w:val="00981DE4"/>
    <w:rsid w:val="009C2E87"/>
    <w:rsid w:val="009D1B82"/>
    <w:rsid w:val="00A01158"/>
    <w:rsid w:val="00A01B27"/>
    <w:rsid w:val="00A37D4C"/>
    <w:rsid w:val="00A74302"/>
    <w:rsid w:val="00B51D0E"/>
    <w:rsid w:val="00B701D3"/>
    <w:rsid w:val="00B82843"/>
    <w:rsid w:val="00BC7C73"/>
    <w:rsid w:val="00BD333B"/>
    <w:rsid w:val="00BD715E"/>
    <w:rsid w:val="00C132A2"/>
    <w:rsid w:val="00C47D10"/>
    <w:rsid w:val="00C517B7"/>
    <w:rsid w:val="00CA11DF"/>
    <w:rsid w:val="00CA7301"/>
    <w:rsid w:val="00CB7D37"/>
    <w:rsid w:val="00CC31DE"/>
    <w:rsid w:val="00D97183"/>
    <w:rsid w:val="00DB0F90"/>
    <w:rsid w:val="00E24D56"/>
    <w:rsid w:val="00E3432E"/>
    <w:rsid w:val="00E442C8"/>
    <w:rsid w:val="00E50BB3"/>
    <w:rsid w:val="00E52CC1"/>
    <w:rsid w:val="00E62261"/>
    <w:rsid w:val="00E72E99"/>
    <w:rsid w:val="00EA2C23"/>
    <w:rsid w:val="00F25B8A"/>
    <w:rsid w:val="00F81024"/>
    <w:rsid w:val="00F9397B"/>
    <w:rsid w:val="00FC2244"/>
    <w:rsid w:val="00FE3F41"/>
    <w:rsid w:val="00FF279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FB9C801-EDEA-40EA-AFB7-5967118045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881EE5"/>
    <w:pPr>
      <w:spacing w:after="0" w:line="240" w:lineRule="auto"/>
    </w:pPr>
  </w:style>
  <w:style w:type="character" w:styleId="a4">
    <w:name w:val="Placeholder Text"/>
    <w:basedOn w:val="a0"/>
    <w:uiPriority w:val="99"/>
    <w:semiHidden/>
    <w:rsid w:val="00CA11DF"/>
    <w:rPr>
      <w:color w:val="80808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581</TotalTime>
  <Pages>3</Pages>
  <Words>1324</Words>
  <Characters>7551</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dc:creator>
  <cp:keywords/>
  <dc:description/>
  <cp:lastModifiedBy>Пользователь</cp:lastModifiedBy>
  <cp:revision>150</cp:revision>
  <dcterms:created xsi:type="dcterms:W3CDTF">2023-10-16T14:43:00Z</dcterms:created>
  <dcterms:modified xsi:type="dcterms:W3CDTF">2025-01-15T20:51:00Z</dcterms:modified>
</cp:coreProperties>
</file>