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0AA" w:rsidRDefault="006750AA" w:rsidP="006750AA">
      <w:pPr>
        <w:rPr>
          <w:sz w:val="28"/>
          <w:szCs w:val="28"/>
        </w:rPr>
      </w:pPr>
      <w:r>
        <w:rPr>
          <w:sz w:val="28"/>
          <w:szCs w:val="28"/>
        </w:rPr>
        <w:t xml:space="preserve">© R.W. Hawksworth 2017, please use </w:t>
      </w:r>
      <w:r>
        <w:rPr>
          <w:sz w:val="28"/>
          <w:szCs w:val="28"/>
        </w:rPr>
        <w:t xml:space="preserve">my work, see below, </w:t>
      </w:r>
      <w:r>
        <w:rPr>
          <w:sz w:val="28"/>
          <w:szCs w:val="28"/>
        </w:rPr>
        <w:t>freely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but at your own risk. </w:t>
      </w:r>
    </w:p>
    <w:p w:rsidR="006750AA" w:rsidRDefault="006750AA">
      <w:pPr>
        <w:rPr>
          <w:rFonts w:eastAsiaTheme="minorEastAsia"/>
          <w:sz w:val="28"/>
          <w:szCs w:val="28"/>
        </w:rPr>
      </w:pPr>
    </w:p>
    <w:p w:rsidR="002F3A5E" w:rsidRDefault="002F3A5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The coherent states of the quantized electromagnetic field, the |α&gt; are given by.</w:t>
      </w:r>
    </w:p>
    <w:p w:rsidR="002F3A5E" w:rsidRPr="005C2D6A" w:rsidRDefault="002F3A5E" w:rsidP="002F3A5E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>q</w:t>
      </w:r>
      <w:r>
        <w:rPr>
          <w:sz w:val="28"/>
          <w:szCs w:val="28"/>
        </w:rPr>
        <w:t>uoting from Loudon</w:t>
      </w:r>
      <w:r>
        <w:rPr>
          <w:sz w:val="28"/>
          <w:szCs w:val="28"/>
          <w:vertAlign w:val="superscript"/>
        </w:rPr>
        <w:t>1</w:t>
      </w:r>
    </w:p>
    <w:p w:rsidR="002F3A5E" w:rsidRDefault="002F3A5E">
      <w:pPr>
        <w:rPr>
          <w:rFonts w:eastAsiaTheme="minorEastAsia"/>
          <w:sz w:val="28"/>
          <w:szCs w:val="28"/>
        </w:rPr>
      </w:pPr>
    </w:p>
    <w:p w:rsidR="007F58A8" w:rsidRPr="002F3A5E" w:rsidRDefault="002F3A5E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|α&gt; =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α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e>
          </m:func>
          <m:r>
            <w:rPr>
              <w:rFonts w:ascii="Cambria Math" w:hAnsi="Cambria Math"/>
              <w:sz w:val="28"/>
              <w:szCs w:val="28"/>
            </w:rPr>
            <m:t xml:space="preserve">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  <m:sup/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n!</m:t>
                          </m:r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sup>
                  </m:sSup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|n&gt;</m:t>
              </m:r>
            </m:e>
          </m:nary>
          <m:r>
            <w:rPr>
              <w:rFonts w:ascii="Cambria Math" w:hAnsi="Cambria Math"/>
              <w:sz w:val="28"/>
              <w:szCs w:val="28"/>
            </w:rPr>
            <m:t xml:space="preserve">         </m:t>
          </m:r>
        </m:oMath>
      </m:oMathPara>
    </w:p>
    <w:p w:rsidR="002F3A5E" w:rsidRDefault="002F3A5E">
      <w:pPr>
        <w:rPr>
          <w:rFonts w:eastAsiaTheme="minorEastAsia"/>
          <w:sz w:val="28"/>
          <w:szCs w:val="28"/>
        </w:rPr>
      </w:pPr>
      <w:r w:rsidRPr="002F3A5E">
        <w:rPr>
          <w:rFonts w:eastAsiaTheme="minorEastAsia"/>
          <w:sz w:val="28"/>
          <w:szCs w:val="28"/>
        </w:rPr>
        <w:t>The</w:t>
      </w:r>
      <w:r>
        <w:rPr>
          <w:rFonts w:eastAsiaTheme="minorEastAsia"/>
          <w:sz w:val="28"/>
          <w:szCs w:val="28"/>
        </w:rPr>
        <w:t xml:space="preserve"> single-mode photon</w:t>
      </w:r>
      <w:r w:rsidRPr="002F3A5E">
        <w:rPr>
          <w:rFonts w:eastAsiaTheme="minorEastAsia"/>
          <w:sz w:val="28"/>
          <w:szCs w:val="28"/>
        </w:rPr>
        <w:t xml:space="preserve"> number states are the |n&gt; above</w:t>
      </w:r>
      <w:r>
        <w:rPr>
          <w:rFonts w:eastAsiaTheme="minorEastAsia"/>
          <w:sz w:val="28"/>
          <w:szCs w:val="28"/>
        </w:rPr>
        <w:t xml:space="preserve">. </w:t>
      </w:r>
    </w:p>
    <w:p w:rsidR="006750AA" w:rsidRDefault="006750A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The creation operator</w:t>
      </w:r>
      <w:r w:rsidR="004D4B0D">
        <w:rPr>
          <w:rFonts w:eastAsiaTheme="minorEastAsia"/>
          <w:sz w:val="28"/>
          <w:szCs w:val="28"/>
        </w:rPr>
        <w:t xml:space="preserve"> for a mode of </w:t>
      </w:r>
      <w:r>
        <w:rPr>
          <w:rFonts w:eastAsiaTheme="minorEastAsia"/>
          <w:sz w:val="28"/>
          <w:szCs w:val="28"/>
        </w:rPr>
        <w:t>the field operates on |n&gt; as</w:t>
      </w:r>
    </w:p>
    <w:p w:rsidR="002F3A5E" w:rsidRDefault="006750A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  <m:acc>
              <m:ac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</m:acc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†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|n&gt; 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n+1</m:t>
                </m:r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|n+1&gt;</m:t>
        </m:r>
      </m:oMath>
    </w:p>
    <w:p w:rsidR="006750AA" w:rsidRDefault="006750AA">
      <w:pPr>
        <w:rPr>
          <w:rFonts w:eastAsiaTheme="minorEastAsia"/>
          <w:sz w:val="28"/>
          <w:szCs w:val="28"/>
        </w:rPr>
      </w:pPr>
      <w:bookmarkStart w:id="0" w:name="_GoBack"/>
      <w:bookmarkEnd w:id="0"/>
    </w:p>
    <w:p w:rsidR="006750AA" w:rsidRDefault="006750A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A function has a set of inputs (a domain) and a set of outputs</w:t>
      </w:r>
      <w:r w:rsidR="008B113A">
        <w:rPr>
          <w:rFonts w:eastAsiaTheme="minorEastAsia"/>
          <w:sz w:val="28"/>
          <w:szCs w:val="28"/>
        </w:rPr>
        <w:t>.</w:t>
      </w:r>
    </w:p>
    <w:p w:rsidR="002526CA" w:rsidRDefault="002526CA">
      <w:pPr>
        <w:rPr>
          <w:rFonts w:eastAsiaTheme="minorEastAsia"/>
          <w:sz w:val="28"/>
          <w:szCs w:val="28"/>
        </w:rPr>
      </w:pPr>
      <w:r w:rsidRPr="002526CA">
        <w:rPr>
          <w:rFonts w:ascii="ITimes New Roman" w:eastAsia="Calibri" w:hAnsi="ITimes New Roman"/>
          <w:sz w:val="28"/>
          <w:szCs w:val="28"/>
        </w:rPr>
        <w:t xml:space="preserve">The | n&gt; are proper mathematical functions just like the spin functions </w:t>
      </w:r>
      <w:r w:rsidRPr="002526CA">
        <w:rPr>
          <w:rFonts w:ascii="Cambria" w:eastAsia="Calibri" w:hAnsi="Cambria"/>
          <w:sz w:val="28"/>
          <w:szCs w:val="28"/>
        </w:rPr>
        <w:t xml:space="preserve">α </w:t>
      </w:r>
      <w:r w:rsidRPr="002526CA">
        <w:rPr>
          <w:rFonts w:ascii="ITimes New Roman" w:eastAsia="Calibri" w:hAnsi="ITimes New Roman"/>
          <w:sz w:val="28"/>
          <w:szCs w:val="28"/>
        </w:rPr>
        <w:t xml:space="preserve">and </w:t>
      </w:r>
      <w:r w:rsidRPr="002526CA">
        <w:rPr>
          <w:rFonts w:ascii="Cambria" w:eastAsia="Calibri" w:hAnsi="Cambria"/>
          <w:sz w:val="28"/>
          <w:szCs w:val="28"/>
        </w:rPr>
        <w:t>β</w:t>
      </w:r>
      <w:r w:rsidRPr="002526CA">
        <w:rPr>
          <w:rFonts w:ascii="ITimes New Roman" w:eastAsia="Calibri" w:hAnsi="ITimes New Roman"/>
          <w:sz w:val="28"/>
          <w:szCs w:val="28"/>
        </w:rPr>
        <w:t xml:space="preserve"> are. </w:t>
      </w:r>
      <w:r w:rsidRPr="002526CA">
        <w:rPr>
          <w:rFonts w:ascii="Cambria" w:eastAsia="Calibri" w:hAnsi="Cambria"/>
          <w:sz w:val="28"/>
          <w:szCs w:val="28"/>
        </w:rPr>
        <w:t xml:space="preserve">α </w:t>
      </w:r>
      <w:r w:rsidRPr="002526CA">
        <w:rPr>
          <w:rFonts w:ascii="ITimes New Roman" w:eastAsia="Calibri" w:hAnsi="ITimes New Roman"/>
          <w:sz w:val="28"/>
          <w:szCs w:val="28"/>
        </w:rPr>
        <w:t xml:space="preserve">and </w:t>
      </w:r>
      <w:r w:rsidRPr="002526CA">
        <w:rPr>
          <w:rFonts w:ascii="Cambria" w:eastAsia="Calibri" w:hAnsi="Cambria"/>
          <w:sz w:val="28"/>
          <w:szCs w:val="28"/>
        </w:rPr>
        <w:t>β</w:t>
      </w:r>
      <w:r w:rsidRPr="002526CA">
        <w:rPr>
          <w:rFonts w:ascii="ITimes New Roman" w:eastAsia="Calibri" w:hAnsi="ITimes New Roman"/>
          <w:sz w:val="28"/>
          <w:szCs w:val="28"/>
        </w:rPr>
        <w:t xml:space="preserve"> could be described as functions with domain {-1/2, +1/2} with </w:t>
      </w:r>
      <w:r w:rsidRPr="002526CA">
        <w:rPr>
          <w:rFonts w:ascii="Cambria" w:eastAsia="Calibri" w:hAnsi="Cambria"/>
          <w:sz w:val="28"/>
          <w:szCs w:val="28"/>
        </w:rPr>
        <w:t>α having outputs {0, 1</w:t>
      </w:r>
      <w:r w:rsidRPr="002526CA">
        <w:rPr>
          <w:rFonts w:ascii="Cambria" w:eastAsia="Calibri" w:hAnsi="Cambria"/>
          <w:sz w:val="30"/>
          <w:szCs w:val="28"/>
        </w:rPr>
        <w:t>} and</w:t>
      </w:r>
      <w:r w:rsidRPr="002526CA">
        <w:rPr>
          <w:rFonts w:ascii="Cambria" w:eastAsia="Calibri" w:hAnsi="Cambria"/>
          <w:sz w:val="28"/>
          <w:szCs w:val="28"/>
        </w:rPr>
        <w:t xml:space="preserve"> β outputs {1, 0}.</w:t>
      </w:r>
      <w:r w:rsidRPr="002526CA">
        <w:rPr>
          <w:rFonts w:ascii="ITimes New Roman" w:eastAsia="Calibri" w:hAnsi="ITimes New Roman"/>
          <w:sz w:val="28"/>
          <w:szCs w:val="28"/>
        </w:rPr>
        <w:t xml:space="preserve"> Think “function of the eigenvalues of some observable”, the |n&gt; are functions with domain, the eigenvalues of the number operator for photons in a mode of the electromagnetic fiel</w:t>
      </w:r>
      <w:r>
        <w:rPr>
          <w:rFonts w:ascii="ITimes New Roman" w:eastAsia="Calibri" w:hAnsi="ITimes New Roman"/>
          <w:sz w:val="28"/>
          <w:szCs w:val="28"/>
        </w:rPr>
        <w:t>d.</w:t>
      </w:r>
    </w:p>
    <w:p w:rsidR="002526CA" w:rsidRDefault="002526CA" w:rsidP="002526C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References</w:t>
      </w:r>
    </w:p>
    <w:p w:rsidR="002526CA" w:rsidRDefault="002526CA" w:rsidP="002526CA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R.Loudon, The quantum theory of light, 2</w:t>
      </w:r>
      <w:r w:rsidRPr="00E0552C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nd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Ed, Oxford University Press,1983.</w:t>
      </w:r>
    </w:p>
    <w:p w:rsidR="002526CA" w:rsidRDefault="002526CA">
      <w:pPr>
        <w:rPr>
          <w:rFonts w:eastAsiaTheme="minorEastAsia"/>
          <w:sz w:val="28"/>
          <w:szCs w:val="28"/>
        </w:rPr>
      </w:pPr>
    </w:p>
    <w:p w:rsidR="002526CA" w:rsidRDefault="002526CA">
      <w:pPr>
        <w:rPr>
          <w:rFonts w:eastAsiaTheme="minorEastAsia"/>
          <w:sz w:val="28"/>
          <w:szCs w:val="28"/>
        </w:rPr>
      </w:pPr>
    </w:p>
    <w:p w:rsidR="002526CA" w:rsidRDefault="002526CA">
      <w:pPr>
        <w:rPr>
          <w:rFonts w:eastAsiaTheme="minorEastAsia"/>
          <w:sz w:val="28"/>
          <w:szCs w:val="28"/>
        </w:rPr>
      </w:pPr>
    </w:p>
    <w:p w:rsidR="002526CA" w:rsidRDefault="002526CA">
      <w:pPr>
        <w:rPr>
          <w:rFonts w:eastAsiaTheme="minorEastAsia"/>
          <w:sz w:val="28"/>
          <w:szCs w:val="28"/>
        </w:rPr>
      </w:pPr>
    </w:p>
    <w:p w:rsidR="002526CA" w:rsidRDefault="002526CA">
      <w:pPr>
        <w:rPr>
          <w:rFonts w:eastAsiaTheme="minorEastAsia"/>
          <w:sz w:val="28"/>
          <w:szCs w:val="28"/>
        </w:rPr>
      </w:pPr>
    </w:p>
    <w:p w:rsidR="002526CA" w:rsidRDefault="002526CA">
      <w:pPr>
        <w:rPr>
          <w:rFonts w:eastAsiaTheme="minorEastAsia"/>
          <w:sz w:val="28"/>
          <w:szCs w:val="28"/>
        </w:rPr>
      </w:pPr>
    </w:p>
    <w:sectPr w:rsidR="002526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Times New Roma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3776A"/>
    <w:multiLevelType w:val="hybridMultilevel"/>
    <w:tmpl w:val="36A491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A5E"/>
    <w:rsid w:val="002526CA"/>
    <w:rsid w:val="002F3A5E"/>
    <w:rsid w:val="004D4B0D"/>
    <w:rsid w:val="006750AA"/>
    <w:rsid w:val="007F58A8"/>
    <w:rsid w:val="008B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2E5D"/>
  <w15:chartTrackingRefBased/>
  <w15:docId w15:val="{959CA872-4773-4C51-86FF-A189E50E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A5E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6750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Hawksworth</dc:creator>
  <cp:keywords/>
  <dc:description/>
  <cp:lastModifiedBy>Roger Hawksworth</cp:lastModifiedBy>
  <cp:revision>3</cp:revision>
  <dcterms:created xsi:type="dcterms:W3CDTF">2017-03-01T08:14:00Z</dcterms:created>
  <dcterms:modified xsi:type="dcterms:W3CDTF">2017-03-01T08:42:00Z</dcterms:modified>
</cp:coreProperties>
</file>